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B3E" w:rsidRDefault="00863B3E" w:rsidP="00863B3E">
      <w:pPr>
        <w:spacing w:line="252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TRIBUNAL MERCANTIL DE BARCELONA (JUZGADOS MERCANTILES DE BARCELONA. Plan Piloto del CGPJ de Tribunal de Instancia)</w:t>
      </w:r>
    </w:p>
    <w:p w:rsidR="00863B3E" w:rsidRDefault="00863B3E" w:rsidP="00863B3E">
      <w:pPr>
        <w:spacing w:line="252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:rsidR="00863B3E" w:rsidRPr="00863B3E" w:rsidRDefault="00863B3E" w:rsidP="00863B3E">
      <w:pPr>
        <w:spacing w:line="252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863B3E">
        <w:rPr>
          <w:rFonts w:ascii="Arial" w:eastAsia="Calibri" w:hAnsi="Arial" w:cs="Arial"/>
          <w:b/>
          <w:bCs/>
          <w:sz w:val="24"/>
          <w:szCs w:val="24"/>
        </w:rPr>
        <w:t>CONCLUSIONES INTERPRETATIVAS DE LOS JUZGADOS MERCANTILES DE BARCELONA.</w:t>
      </w:r>
    </w:p>
    <w:p w:rsidR="00863B3E" w:rsidRPr="00863B3E" w:rsidRDefault="00863B3E" w:rsidP="00863B3E">
      <w:pPr>
        <w:spacing w:line="252" w:lineRule="auto"/>
        <w:jc w:val="both"/>
        <w:rPr>
          <w:rFonts w:ascii="Arial" w:hAnsi="Arial" w:cs="Arial"/>
          <w:b/>
          <w:sz w:val="24"/>
          <w:szCs w:val="24"/>
        </w:rPr>
      </w:pPr>
    </w:p>
    <w:p w:rsidR="00863B3E" w:rsidRDefault="00863B3E" w:rsidP="00863B3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</w:pPr>
      <w:r w:rsidRPr="00863B3E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Los presentes criterios no tratan de imponer una determinada doctrina, sino que responden a la necesidad evidente unificar la interpretación que damos en nuestra práctica a la Ley Concursal. </w:t>
      </w:r>
    </w:p>
    <w:p w:rsidR="00863B3E" w:rsidRPr="00863B3E" w:rsidRDefault="00863B3E" w:rsidP="00863B3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863B3E" w:rsidRDefault="00863B3E" w:rsidP="00863B3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</w:pPr>
      <w:r w:rsidRPr="00863B3E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Lógicamente no cierran ningún debate jurídico, sino que su objetivo es mucho más modesto, pero, en cualquier caso, lo que nos interesa dejar claro es que por </w:t>
      </w:r>
      <w:proofErr w:type="spellStart"/>
      <w:r w:rsidRPr="00863B3E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si</w:t>
      </w:r>
      <w:proofErr w:type="spellEnd"/>
      <w:r w:rsidRPr="00863B3E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 solas no pueden ni deben fundamentar jurídicamente una pretensión. </w:t>
      </w:r>
    </w:p>
    <w:p w:rsidR="00863B3E" w:rsidRPr="00863B3E" w:rsidRDefault="00863B3E" w:rsidP="00863B3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863B3E" w:rsidRDefault="00863B3E" w:rsidP="00863B3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</w:pPr>
      <w:r w:rsidRPr="00863B3E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Nuestras conclusiones surgen del debate de problemas que compartimos, la búsqueda de soluciones comunes y el compromiso profesional de respetarlas en la medida que se adapten al caso enjuiciado, pero sabemos que los casos son más diversos que las soluciones que aquí</w:t>
      </w:r>
      <w:r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 </w:t>
      </w:r>
      <w:r w:rsidRPr="00863B3E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se proponen, por lo que las expuestas necesariamente han de ser igualmente diversas, nuestro objetivo es limitar esas diferencias y comprometernos a explicarlas. </w:t>
      </w:r>
    </w:p>
    <w:p w:rsidR="00863B3E" w:rsidRPr="00863B3E" w:rsidRDefault="00863B3E" w:rsidP="00863B3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863B3E" w:rsidRDefault="00863B3E" w:rsidP="00863B3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</w:pPr>
      <w:r w:rsidRPr="00863B3E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Tampoco es nuestra intención proporcionar una guía de solu</w:t>
      </w:r>
      <w:r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ciones de obligado cumplimiento </w:t>
      </w:r>
      <w:r w:rsidRPr="00863B3E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para los administradores concursales, sino presentar una propuesta razonable de soluciones jurídicas a los problemas del concurso estudiados, debidamente consensuada, pero que no exime de fundamentar jurídicamente cualquier pretensión ante nuestros Juzgados. </w:t>
      </w:r>
    </w:p>
    <w:p w:rsidR="00863B3E" w:rsidRPr="00863B3E" w:rsidRDefault="00863B3E" w:rsidP="00863B3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863B3E" w:rsidRPr="00863B3E" w:rsidRDefault="00863B3E" w:rsidP="00863B3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63B3E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Lógicamente estos criterios respetan las decisiones </w:t>
      </w:r>
      <w:proofErr w:type="gramStart"/>
      <w:r w:rsidRPr="00863B3E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que</w:t>
      </w:r>
      <w:proofErr w:type="gramEnd"/>
      <w:r w:rsidRPr="00863B3E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 de las correspondientes secciones de las Audiencias Provinciales, de la Sala de lo Social del Tribuna</w:t>
      </w:r>
      <w:r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l</w:t>
      </w:r>
      <w:r w:rsidRPr="00863B3E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 Superior de Justicia de Catalunya y del Tribunal Supremo han ido adoptado sobre los problemas planteados y están sometidos a lo que los tribunales vayan resolviendo sobre estas materias.</w:t>
      </w:r>
    </w:p>
    <w:p w:rsidR="00863B3E" w:rsidRPr="00863B3E" w:rsidRDefault="00863B3E" w:rsidP="00863B3E">
      <w:pPr>
        <w:spacing w:line="252" w:lineRule="auto"/>
        <w:jc w:val="both"/>
        <w:rPr>
          <w:rFonts w:ascii="Arial" w:hAnsi="Arial" w:cs="Arial"/>
          <w:b/>
          <w:sz w:val="24"/>
          <w:szCs w:val="24"/>
        </w:rPr>
      </w:pPr>
    </w:p>
    <w:p w:rsidR="00863B3E" w:rsidRPr="00863B3E" w:rsidRDefault="00863B3E" w:rsidP="00863B3E">
      <w:pPr>
        <w:spacing w:line="252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863B3E">
        <w:rPr>
          <w:rFonts w:ascii="Arial" w:hAnsi="Arial" w:cs="Arial"/>
          <w:b/>
          <w:sz w:val="24"/>
          <w:szCs w:val="24"/>
        </w:rPr>
        <w:t>Seminario de 26 de septi</w:t>
      </w:r>
      <w:r>
        <w:rPr>
          <w:rFonts w:ascii="Arial" w:hAnsi="Arial" w:cs="Arial"/>
          <w:b/>
          <w:sz w:val="24"/>
          <w:szCs w:val="24"/>
        </w:rPr>
        <w:t>embre sobre régimen transitorio.</w:t>
      </w:r>
    </w:p>
    <w:p w:rsidR="00863B3E" w:rsidRPr="00863B3E" w:rsidRDefault="00863B3E" w:rsidP="00863B3E">
      <w:pPr>
        <w:spacing w:line="252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:rsidR="00863B3E" w:rsidRPr="00863B3E" w:rsidRDefault="00863B3E" w:rsidP="00863B3E">
      <w:pPr>
        <w:spacing w:line="252" w:lineRule="auto"/>
        <w:jc w:val="both"/>
        <w:rPr>
          <w:rFonts w:ascii="Arial" w:eastAsia="Calibri" w:hAnsi="Arial" w:cs="Arial"/>
          <w:sz w:val="24"/>
          <w:szCs w:val="24"/>
        </w:rPr>
      </w:pPr>
      <w:r w:rsidRPr="00863B3E">
        <w:rPr>
          <w:rFonts w:ascii="Arial" w:eastAsia="Calibri" w:hAnsi="Arial" w:cs="Arial"/>
          <w:sz w:val="24"/>
          <w:szCs w:val="24"/>
        </w:rPr>
        <w:t xml:space="preserve">1. La </w:t>
      </w:r>
      <w:proofErr w:type="spellStart"/>
      <w:r w:rsidRPr="00863B3E">
        <w:rPr>
          <w:rFonts w:ascii="Arial" w:eastAsia="Calibri" w:hAnsi="Arial" w:cs="Arial"/>
          <w:sz w:val="24"/>
          <w:szCs w:val="24"/>
        </w:rPr>
        <w:t>D.Tr</w:t>
      </w:r>
      <w:proofErr w:type="spellEnd"/>
      <w:r w:rsidRPr="00863B3E">
        <w:rPr>
          <w:rFonts w:ascii="Arial" w:eastAsia="Calibri" w:hAnsi="Arial" w:cs="Arial"/>
          <w:sz w:val="24"/>
          <w:szCs w:val="24"/>
        </w:rPr>
        <w:t>. 1ª, apartado 1, 1.º, según la cual se aplicará la Ley 16/22 a:</w:t>
      </w:r>
      <w:r w:rsidRPr="00863B3E">
        <w:rPr>
          <w:rFonts w:ascii="Arial" w:eastAsia="Calibri" w:hAnsi="Arial" w:cs="Arial"/>
          <w:sz w:val="24"/>
          <w:szCs w:val="24"/>
        </w:rPr>
        <w:t> </w:t>
      </w:r>
      <w:r w:rsidRPr="00863B3E">
        <w:rPr>
          <w:rFonts w:ascii="Arial" w:eastAsia="Calibri" w:hAnsi="Arial" w:cs="Arial"/>
          <w:i/>
          <w:iCs/>
          <w:sz w:val="24"/>
          <w:szCs w:val="24"/>
        </w:rPr>
        <w:t>El informe de la administración concursal con el inventario y la relación de acreedores elaborada por el administrador concursal que se presenten después de su entrada en vigo</w:t>
      </w:r>
      <w:r w:rsidRPr="00863B3E">
        <w:rPr>
          <w:rFonts w:ascii="Arial" w:eastAsia="Calibri" w:hAnsi="Arial" w:cs="Arial"/>
          <w:sz w:val="24"/>
          <w:szCs w:val="24"/>
        </w:rPr>
        <w:t>r, se interpreta en el sentido de que se aplicará también la Ley 16/22</w:t>
      </w:r>
      <w:r>
        <w:rPr>
          <w:rFonts w:ascii="Arial" w:eastAsia="Calibri" w:hAnsi="Arial" w:cs="Arial"/>
          <w:sz w:val="24"/>
          <w:szCs w:val="24"/>
        </w:rPr>
        <w:t xml:space="preserve"> a la tramitación que se dé al I</w:t>
      </w:r>
      <w:bookmarkStart w:id="0" w:name="_GoBack"/>
      <w:bookmarkEnd w:id="0"/>
      <w:r w:rsidRPr="00863B3E">
        <w:rPr>
          <w:rFonts w:ascii="Arial" w:eastAsia="Calibri" w:hAnsi="Arial" w:cs="Arial"/>
          <w:sz w:val="24"/>
          <w:szCs w:val="24"/>
        </w:rPr>
        <w:t>nforme presentado después de su entrada en vigor.</w:t>
      </w:r>
    </w:p>
    <w:p w:rsidR="00863B3E" w:rsidRPr="00863B3E" w:rsidRDefault="00863B3E" w:rsidP="00863B3E">
      <w:pPr>
        <w:spacing w:line="252" w:lineRule="auto"/>
        <w:jc w:val="both"/>
        <w:rPr>
          <w:rFonts w:ascii="Arial" w:eastAsia="Calibri" w:hAnsi="Arial" w:cs="Arial"/>
          <w:sz w:val="24"/>
          <w:szCs w:val="24"/>
        </w:rPr>
      </w:pPr>
      <w:r w:rsidRPr="00863B3E">
        <w:rPr>
          <w:rFonts w:ascii="Arial" w:eastAsia="Calibri" w:hAnsi="Arial" w:cs="Arial"/>
          <w:sz w:val="24"/>
          <w:szCs w:val="24"/>
        </w:rPr>
        <w:t>2. Los plazos de presentación de las propuestas de convenio se regirán por lo establecido en el art. 296 bis, en la redacción dada por la Ley 16/22 si el informe del AC se presenta después de su entrada en vigor.</w:t>
      </w:r>
    </w:p>
    <w:p w:rsidR="00863B3E" w:rsidRPr="00863B3E" w:rsidRDefault="00863B3E" w:rsidP="00863B3E">
      <w:pPr>
        <w:spacing w:line="252" w:lineRule="auto"/>
        <w:jc w:val="both"/>
        <w:rPr>
          <w:rFonts w:ascii="Arial" w:eastAsia="Calibri" w:hAnsi="Arial" w:cs="Arial"/>
          <w:sz w:val="24"/>
          <w:szCs w:val="24"/>
        </w:rPr>
      </w:pPr>
      <w:r w:rsidRPr="00863B3E">
        <w:rPr>
          <w:rFonts w:ascii="Arial" w:eastAsia="Calibri" w:hAnsi="Arial" w:cs="Arial"/>
          <w:sz w:val="24"/>
          <w:szCs w:val="24"/>
        </w:rPr>
        <w:lastRenderedPageBreak/>
        <w:t xml:space="preserve">3. Se entenderá que se ha producido una “solicitud de exoneración del pasivo” a los solos efectos del número 6º de la </w:t>
      </w:r>
      <w:proofErr w:type="spellStart"/>
      <w:r w:rsidRPr="00863B3E">
        <w:rPr>
          <w:rFonts w:ascii="Arial" w:eastAsia="Calibri" w:hAnsi="Arial" w:cs="Arial"/>
          <w:sz w:val="24"/>
          <w:szCs w:val="24"/>
        </w:rPr>
        <w:t>D.Tr</w:t>
      </w:r>
      <w:proofErr w:type="spellEnd"/>
      <w:r w:rsidRPr="00863B3E">
        <w:rPr>
          <w:rFonts w:ascii="Arial" w:eastAsia="Calibri" w:hAnsi="Arial" w:cs="Arial"/>
          <w:sz w:val="24"/>
          <w:szCs w:val="24"/>
        </w:rPr>
        <w:t xml:space="preserve">. Primera, apartado 3, cuando se haya efectuado la solicitud de una manera expresa, en cualquier momento, antes o después de la declaración de concurso. </w:t>
      </w:r>
    </w:p>
    <w:p w:rsidR="00863B3E" w:rsidRPr="00863B3E" w:rsidRDefault="00863B3E" w:rsidP="00863B3E">
      <w:pPr>
        <w:spacing w:line="252" w:lineRule="auto"/>
        <w:jc w:val="both"/>
        <w:rPr>
          <w:rFonts w:ascii="Arial" w:eastAsia="Calibri" w:hAnsi="Arial" w:cs="Arial"/>
          <w:sz w:val="24"/>
          <w:szCs w:val="24"/>
        </w:rPr>
      </w:pPr>
      <w:r w:rsidRPr="00863B3E">
        <w:rPr>
          <w:rFonts w:ascii="Arial" w:eastAsia="Calibri" w:hAnsi="Arial" w:cs="Arial"/>
          <w:sz w:val="24"/>
          <w:szCs w:val="24"/>
        </w:rPr>
        <w:t>4. Se entenderá que desde la entrada en vigor de la Ley 16/22 no cabe admitir a trámite acuerdos extrajudiciales de pago ni acuerdos de refinanciación.</w:t>
      </w:r>
    </w:p>
    <w:p w:rsidR="00863B3E" w:rsidRPr="00863B3E" w:rsidRDefault="00863B3E" w:rsidP="00863B3E">
      <w:pPr>
        <w:spacing w:line="252" w:lineRule="auto"/>
        <w:jc w:val="both"/>
        <w:rPr>
          <w:rFonts w:ascii="Arial" w:eastAsia="Calibri" w:hAnsi="Arial" w:cs="Arial"/>
          <w:sz w:val="24"/>
          <w:szCs w:val="24"/>
        </w:rPr>
      </w:pPr>
      <w:r w:rsidRPr="00863B3E">
        <w:rPr>
          <w:rFonts w:ascii="Arial" w:eastAsia="Calibri" w:hAnsi="Arial" w:cs="Arial"/>
          <w:sz w:val="24"/>
          <w:szCs w:val="24"/>
        </w:rPr>
        <w:t>6. La Disposición Transitoria Segunda resulta de aplicación a todos los deudores que entren dentro del ámbito de aplicación del art. 685, no solamente a los microempresarios.</w:t>
      </w:r>
    </w:p>
    <w:p w:rsidR="00863B3E" w:rsidRPr="00863B3E" w:rsidRDefault="00863B3E" w:rsidP="00863B3E">
      <w:pPr>
        <w:spacing w:line="252" w:lineRule="auto"/>
        <w:jc w:val="both"/>
        <w:rPr>
          <w:rFonts w:ascii="Arial" w:eastAsia="Calibri" w:hAnsi="Arial" w:cs="Arial"/>
          <w:sz w:val="24"/>
          <w:szCs w:val="24"/>
        </w:rPr>
      </w:pPr>
      <w:r w:rsidRPr="00863B3E">
        <w:rPr>
          <w:rFonts w:ascii="Arial" w:eastAsia="Calibri" w:hAnsi="Arial" w:cs="Arial"/>
          <w:sz w:val="24"/>
          <w:szCs w:val="24"/>
        </w:rPr>
        <w:t xml:space="preserve">7. A los deudores que entren dentro del ámbito de aplicación del art. 685 se les aplicará el Libro I y el Libro II hasta el día 1 de enero de 2023, (que será de aplicación el Libro III), con las especialidades que respecto del Libro I se establecen en la D. </w:t>
      </w:r>
      <w:proofErr w:type="spellStart"/>
      <w:r w:rsidRPr="00863B3E">
        <w:rPr>
          <w:rFonts w:ascii="Arial" w:eastAsia="Calibri" w:hAnsi="Arial" w:cs="Arial"/>
          <w:sz w:val="24"/>
          <w:szCs w:val="24"/>
        </w:rPr>
        <w:t>Tr</w:t>
      </w:r>
      <w:proofErr w:type="spellEnd"/>
      <w:r w:rsidRPr="00863B3E">
        <w:rPr>
          <w:rFonts w:ascii="Arial" w:eastAsia="Calibri" w:hAnsi="Arial" w:cs="Arial"/>
          <w:sz w:val="24"/>
          <w:szCs w:val="24"/>
        </w:rPr>
        <w:t>. Segunda de la Ley 16/22.</w:t>
      </w:r>
    </w:p>
    <w:p w:rsidR="002F65E4" w:rsidRPr="00863B3E" w:rsidRDefault="002F65E4" w:rsidP="00863B3E">
      <w:pPr>
        <w:jc w:val="both"/>
        <w:rPr>
          <w:rFonts w:ascii="Arial" w:hAnsi="Arial" w:cs="Arial"/>
          <w:sz w:val="24"/>
          <w:szCs w:val="24"/>
        </w:rPr>
      </w:pPr>
    </w:p>
    <w:sectPr w:rsidR="002F65E4" w:rsidRPr="00863B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B3E"/>
    <w:rsid w:val="002F65E4"/>
    <w:rsid w:val="0086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1C339"/>
  <w15:chartTrackingRefBased/>
  <w15:docId w15:val="{A1677D09-A9A1-4A11-90B1-9D17AFDD2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4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4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5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3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6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508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T-Systems</Company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 Orejudo, Raul Nicolas</dc:creator>
  <cp:keywords/>
  <dc:description/>
  <cp:lastModifiedBy>Garcia Orejudo, Raul Nicolas</cp:lastModifiedBy>
  <cp:revision>1</cp:revision>
  <dcterms:created xsi:type="dcterms:W3CDTF">2022-10-03T11:44:00Z</dcterms:created>
  <dcterms:modified xsi:type="dcterms:W3CDTF">2022-10-03T11:52:00Z</dcterms:modified>
</cp:coreProperties>
</file>